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DF009" w14:textId="77777777" w:rsidR="00E0260E" w:rsidRPr="00E0260E" w:rsidRDefault="00E0260E" w:rsidP="00E0260E">
      <w:pPr>
        <w:jc w:val="both"/>
        <w:rPr>
          <w:rFonts w:ascii="Verdana" w:eastAsia="Times New Roman" w:hAnsi="Verdana" w:cs="Times New Roman"/>
          <w:b/>
          <w:bCs/>
          <w:color w:val="000000"/>
          <w:sz w:val="18"/>
          <w:szCs w:val="18"/>
        </w:rPr>
      </w:pPr>
      <w:r w:rsidRPr="00E0260E">
        <w:rPr>
          <w:rFonts w:ascii="Verdana" w:eastAsia="Times New Roman" w:hAnsi="Verdana" w:cs="Times New Roman"/>
          <w:b/>
          <w:bCs/>
          <w:color w:val="000000"/>
          <w:sz w:val="18"/>
          <w:szCs w:val="18"/>
        </w:rPr>
        <w:t xml:space="preserve">Cass. </w:t>
      </w:r>
      <w:proofErr w:type="gramStart"/>
      <w:r w:rsidRPr="00E0260E">
        <w:rPr>
          <w:rFonts w:ascii="Verdana" w:eastAsia="Times New Roman" w:hAnsi="Verdana" w:cs="Times New Roman"/>
          <w:b/>
          <w:bCs/>
          <w:color w:val="000000"/>
          <w:sz w:val="18"/>
          <w:szCs w:val="18"/>
        </w:rPr>
        <w:t>civ.</w:t>
      </w:r>
      <w:proofErr w:type="gramEnd"/>
      <w:r w:rsidRPr="00E0260E">
        <w:rPr>
          <w:rFonts w:ascii="Verdana" w:eastAsia="Times New Roman" w:hAnsi="Verdana" w:cs="Times New Roman"/>
          <w:b/>
          <w:bCs/>
          <w:color w:val="000000"/>
          <w:sz w:val="18"/>
          <w:szCs w:val="18"/>
        </w:rPr>
        <w:t xml:space="preserve"> Sez. VI - 2 Ord., 12-09-2019, n. 22790 (rv. 655280-01)</w:t>
      </w:r>
    </w:p>
    <w:p w14:paraId="5C0E4C54" w14:textId="77777777" w:rsidR="00E0260E" w:rsidRPr="00E0260E" w:rsidRDefault="00E0260E" w:rsidP="00E0260E">
      <w:pPr>
        <w:jc w:val="both"/>
        <w:rPr>
          <w:rFonts w:ascii="Verdana" w:eastAsia="Times New Roman" w:hAnsi="Verdana" w:cs="Times New Roman"/>
          <w:color w:val="000000"/>
          <w:sz w:val="18"/>
          <w:szCs w:val="18"/>
        </w:rPr>
      </w:pPr>
      <w:r w:rsidRPr="00E0260E">
        <w:rPr>
          <w:rFonts w:ascii="Verdana" w:eastAsia="Times New Roman" w:hAnsi="Verdana" w:cs="Times New Roman"/>
          <w:color w:val="000000"/>
          <w:sz w:val="18"/>
          <w:szCs w:val="18"/>
        </w:rPr>
        <w:t>G. c. I.</w:t>
      </w:r>
    </w:p>
    <w:p w14:paraId="2B932229" w14:textId="77777777" w:rsidR="00E0260E" w:rsidRPr="00E0260E" w:rsidRDefault="00E0260E" w:rsidP="00E0260E">
      <w:pPr>
        <w:shd w:val="clear" w:color="auto" w:fill="F3F3F3"/>
        <w:jc w:val="both"/>
        <w:rPr>
          <w:rFonts w:ascii="Verdana" w:eastAsia="Times New Roman" w:hAnsi="Verdana" w:cs="Times New Roman"/>
          <w:color w:val="000000"/>
          <w:sz w:val="18"/>
          <w:szCs w:val="18"/>
        </w:rPr>
      </w:pPr>
      <w:r w:rsidRPr="00E0260E">
        <w:rPr>
          <w:rFonts w:ascii="Verdana" w:eastAsia="Times New Roman" w:hAnsi="Verdana" w:cs="Times New Roman"/>
          <w:color w:val="000000"/>
          <w:sz w:val="18"/>
          <w:szCs w:val="18"/>
        </w:rPr>
        <w:br/>
      </w:r>
      <w:r w:rsidRPr="00E0260E">
        <w:rPr>
          <w:rFonts w:ascii="Verdana" w:eastAsia="Times New Roman" w:hAnsi="Verdana" w:cs="Times New Roman"/>
          <w:b/>
          <w:bCs/>
          <w:color w:val="000000"/>
          <w:sz w:val="18"/>
          <w:szCs w:val="18"/>
        </w:rPr>
        <w:t>SOCIETA'</w:t>
      </w:r>
      <w:r w:rsidRPr="00E0260E">
        <w:rPr>
          <w:rFonts w:ascii="Verdana" w:eastAsia="Times New Roman" w:hAnsi="Verdana" w:cs="Times New Roman"/>
          <w:color w:val="000000"/>
          <w:sz w:val="18"/>
          <w:szCs w:val="18"/>
        </w:rPr>
        <w:t> </w:t>
      </w:r>
      <w:r w:rsidRPr="00E0260E">
        <w:rPr>
          <w:rFonts w:ascii="Verdana" w:eastAsia="Times New Roman" w:hAnsi="Verdana" w:cs="Times New Roman"/>
          <w:color w:val="000000"/>
          <w:sz w:val="18"/>
          <w:szCs w:val="18"/>
        </w:rPr>
        <w:br/>
        <w:t>Quota di partecipazione sociale (trasferimento) </w:t>
      </w:r>
      <w:r w:rsidRPr="00E0260E">
        <w:rPr>
          <w:rFonts w:ascii="Verdana" w:eastAsia="Times New Roman" w:hAnsi="Verdana" w:cs="Times New Roman"/>
          <w:color w:val="000000"/>
          <w:sz w:val="18"/>
          <w:szCs w:val="18"/>
        </w:rPr>
        <w:br/>
        <w:t>Società </w:t>
      </w:r>
      <w:r w:rsidRPr="00E0260E">
        <w:rPr>
          <w:rFonts w:ascii="Verdana" w:eastAsia="Times New Roman" w:hAnsi="Verdana" w:cs="Times New Roman"/>
          <w:color w:val="000000"/>
          <w:sz w:val="18"/>
          <w:szCs w:val="18"/>
        </w:rPr>
        <w:br/>
      </w:r>
      <w:proofErr w:type="gramStart"/>
      <w:r w:rsidRPr="00E0260E">
        <w:rPr>
          <w:rFonts w:ascii="Verdana" w:eastAsia="Times New Roman" w:hAnsi="Verdana" w:cs="Times New Roman"/>
          <w:color w:val="000000"/>
          <w:sz w:val="18"/>
          <w:szCs w:val="18"/>
        </w:rPr>
        <w:t>a</w:t>
      </w:r>
      <w:proofErr w:type="gramEnd"/>
      <w:r w:rsidRPr="00E0260E">
        <w:rPr>
          <w:rFonts w:ascii="Verdana" w:eastAsia="Times New Roman" w:hAnsi="Verdana" w:cs="Times New Roman"/>
          <w:color w:val="000000"/>
          <w:sz w:val="18"/>
          <w:szCs w:val="18"/>
        </w:rPr>
        <w:t xml:space="preserve"> responsabilità limitata</w:t>
      </w:r>
    </w:p>
    <w:p w14:paraId="46924B19" w14:textId="77777777" w:rsidR="00E0260E" w:rsidRPr="00E0260E" w:rsidRDefault="00E0260E" w:rsidP="00E0260E">
      <w:pPr>
        <w:shd w:val="clear" w:color="auto" w:fill="F3F3F3"/>
        <w:jc w:val="both"/>
        <w:rPr>
          <w:rFonts w:ascii="Verdana" w:eastAsia="Times New Roman" w:hAnsi="Verdana" w:cs="Times New Roman"/>
          <w:color w:val="000000"/>
          <w:sz w:val="18"/>
          <w:szCs w:val="18"/>
        </w:rPr>
      </w:pPr>
      <w:r w:rsidRPr="00E0260E">
        <w:rPr>
          <w:rFonts w:ascii="Verdana" w:eastAsia="Times New Roman" w:hAnsi="Verdana" w:cs="Times New Roman"/>
          <w:color w:val="000000"/>
          <w:sz w:val="18"/>
          <w:szCs w:val="18"/>
        </w:rPr>
        <w:br/>
        <w:t xml:space="preserve">SOCIETA' - Di capitali - Societa' a responsabilita' limitata (nozione, caratteri, distinzioni) - Capitale sociale - Conferimenti - Quota - Trasferimento - In genere - Contratto di cessione di azioni di società contro prezzo - Natura delle azioni come beni di "secondo grado" - Conseguenze - Differenza della consistenza quantitativa e qualitativa del patrimonio sociale rispetto a quella pattuita in contratto - Mancanza di qualità e "aliud pro alio datum" - Configurabilità - Conseguenze - Risoluzione del contratto - </w:t>
      </w:r>
      <w:proofErr w:type="gramStart"/>
      <w:r w:rsidRPr="00E0260E">
        <w:rPr>
          <w:rFonts w:ascii="Verdana" w:eastAsia="Times New Roman" w:hAnsi="Verdana" w:cs="Times New Roman"/>
          <w:color w:val="000000"/>
          <w:sz w:val="18"/>
          <w:szCs w:val="18"/>
        </w:rPr>
        <w:t>Ammissibilità</w:t>
      </w:r>
      <w:proofErr w:type="gramEnd"/>
    </w:p>
    <w:p w14:paraId="7557CD81" w14:textId="77777777" w:rsidR="00E0260E" w:rsidRPr="00E0260E" w:rsidRDefault="00E0260E" w:rsidP="00E0260E">
      <w:pPr>
        <w:spacing w:before="100" w:beforeAutospacing="1" w:after="100" w:afterAutospacing="1"/>
        <w:jc w:val="both"/>
        <w:rPr>
          <w:rFonts w:ascii="Verdana" w:hAnsi="Verdana" w:cs="Times New Roman"/>
          <w:color w:val="000000"/>
          <w:sz w:val="18"/>
          <w:szCs w:val="18"/>
        </w:rPr>
      </w:pPr>
      <w:r w:rsidRPr="00E0260E">
        <w:rPr>
          <w:rFonts w:ascii="Verdana" w:hAnsi="Verdana" w:cs="Times New Roman"/>
          <w:color w:val="000000"/>
          <w:sz w:val="18"/>
          <w:szCs w:val="18"/>
        </w:rPr>
        <w:t xml:space="preserve">Le azioni (e le quote) delle società di capitali costituiscono beni di "secondo grado", in quanto non sono del tutto distinte e separate dai beni compresi nel patrimonio sociale, e sono rappresentative delle posizioni giuridiche spettanti ai soci in ordine alla gestione ed </w:t>
      </w:r>
      <w:proofErr w:type="gramStart"/>
      <w:r w:rsidRPr="00E0260E">
        <w:rPr>
          <w:rFonts w:ascii="Verdana" w:hAnsi="Verdana" w:cs="Times New Roman"/>
          <w:color w:val="000000"/>
          <w:sz w:val="18"/>
          <w:szCs w:val="18"/>
        </w:rPr>
        <w:t xml:space="preserve">alla </w:t>
      </w:r>
      <w:proofErr w:type="gramEnd"/>
      <w:r w:rsidRPr="00E0260E">
        <w:rPr>
          <w:rFonts w:ascii="Verdana" w:hAnsi="Verdana" w:cs="Times New Roman"/>
          <w:color w:val="000000"/>
          <w:sz w:val="18"/>
          <w:szCs w:val="18"/>
        </w:rPr>
        <w:t>utilizzazione di detti beni, funzionalmente destinati all'esercizio dell'attività sociale; pertanto, i beni compresi nel patrimonio della società non possono essere considerati del tutto estranei all'oggetto del contratto di cessione del trasferimento delle azioni o delle quote di una società di capitali, sia se le parti abbiano fatto espresso riferimento agli stessi, mediante la previsione di specifiche garanzie contrattuali, sia se l'affidamento del cessionario debba ritenersi giustificato alla stregua del principio di buona fede. Ne consegue che la differenza tra l'effettiva consistenza quantitativa del patrimonio sociale rispetto a quella indicata nel contratto, incidendo sulla solidità economica e sulla produttività della società, quindi sul valore delle azioni o delle quote, può integrare la mancanza delle qualità essenziali della cosa, che rende ammissibile la risoluzione del contratto ex </w:t>
      </w:r>
      <w:hyperlink r:id="rId5" w:history="1">
        <w:r w:rsidRPr="00E0260E">
          <w:rPr>
            <w:rFonts w:ascii="Verdana" w:hAnsi="Verdana" w:cs="Times New Roman"/>
            <w:i/>
            <w:iCs/>
            <w:color w:val="0000FF"/>
            <w:sz w:val="18"/>
            <w:szCs w:val="18"/>
            <w:u w:val="single"/>
          </w:rPr>
          <w:t>art. 1497 c.c.</w:t>
        </w:r>
      </w:hyperlink>
      <w:r w:rsidRPr="00E0260E">
        <w:rPr>
          <w:rFonts w:ascii="Verdana" w:hAnsi="Verdana" w:cs="Times New Roman"/>
          <w:color w:val="000000"/>
          <w:sz w:val="18"/>
          <w:szCs w:val="18"/>
        </w:rPr>
        <w:t>, ovvero, qualora i beni siano assolutamente privi della capacità funzionale a soddisfare i bisogni dell'acquirente, quindi "radicalmente diversi" da quelli pattuiti, l'esperimento di un'ordinaria azione di risoluzione ex </w:t>
      </w:r>
      <w:hyperlink r:id="rId6" w:history="1">
        <w:r w:rsidRPr="00E0260E">
          <w:rPr>
            <w:rFonts w:ascii="Verdana" w:hAnsi="Verdana" w:cs="Times New Roman"/>
            <w:i/>
            <w:iCs/>
            <w:color w:val="0000FF"/>
            <w:sz w:val="18"/>
            <w:szCs w:val="18"/>
            <w:u w:val="single"/>
          </w:rPr>
          <w:t>art. 1453 c.c.</w:t>
        </w:r>
      </w:hyperlink>
      <w:r w:rsidRPr="00E0260E">
        <w:rPr>
          <w:rFonts w:ascii="Verdana" w:hAnsi="Verdana" w:cs="Times New Roman"/>
          <w:color w:val="000000"/>
          <w:sz w:val="18"/>
          <w:szCs w:val="18"/>
        </w:rPr>
        <w:t>, svincolata dai termini di decadenza e prescrizione previsti </w:t>
      </w:r>
      <w:hyperlink r:id="rId7" w:history="1">
        <w:r w:rsidRPr="00E0260E">
          <w:rPr>
            <w:rFonts w:ascii="Verdana" w:hAnsi="Verdana" w:cs="Times New Roman"/>
            <w:i/>
            <w:iCs/>
            <w:color w:val="0000FF"/>
            <w:sz w:val="18"/>
            <w:szCs w:val="18"/>
            <w:u w:val="single"/>
          </w:rPr>
          <w:t>dall'art. 1495 c.c.</w:t>
        </w:r>
      </w:hyperlink>
      <w:proofErr w:type="gramStart"/>
      <w:r w:rsidRPr="00E0260E">
        <w:rPr>
          <w:rFonts w:ascii="Verdana" w:hAnsi="Verdana" w:cs="Times New Roman"/>
          <w:color w:val="000000"/>
          <w:sz w:val="18"/>
          <w:szCs w:val="18"/>
        </w:rPr>
        <w:t>(</w:t>
      </w:r>
      <w:proofErr w:type="gramEnd"/>
      <w:r w:rsidRPr="00E0260E">
        <w:rPr>
          <w:rFonts w:ascii="Verdana" w:hAnsi="Verdana" w:cs="Times New Roman"/>
          <w:color w:val="000000"/>
          <w:sz w:val="18"/>
          <w:szCs w:val="18"/>
        </w:rPr>
        <w:t>Rigetta, CORTE D'APPELLO BOLOGNA, 28/12/2017)</w:t>
      </w:r>
    </w:p>
    <w:p w14:paraId="4473BC62" w14:textId="77777777" w:rsidR="00E0260E" w:rsidRPr="00E0260E" w:rsidRDefault="00E0260E" w:rsidP="00E0260E">
      <w:pPr>
        <w:spacing w:before="100" w:beforeAutospacing="1" w:after="100" w:afterAutospacing="1"/>
        <w:jc w:val="both"/>
        <w:rPr>
          <w:rFonts w:ascii="Verdana" w:hAnsi="Verdana" w:cs="Times New Roman"/>
          <w:color w:val="000000"/>
          <w:sz w:val="18"/>
          <w:szCs w:val="18"/>
        </w:rPr>
      </w:pPr>
      <w:r w:rsidRPr="00E0260E">
        <w:rPr>
          <w:rFonts w:ascii="Verdana" w:hAnsi="Verdana" w:cs="Times New Roman"/>
          <w:b/>
          <w:bCs/>
          <w:color w:val="000000"/>
          <w:sz w:val="18"/>
          <w:szCs w:val="18"/>
        </w:rPr>
        <w:t>FONTI</w:t>
      </w:r>
      <w:r w:rsidRPr="00E0260E">
        <w:rPr>
          <w:rFonts w:ascii="Verdana" w:hAnsi="Verdana" w:cs="Times New Roman"/>
          <w:color w:val="000000"/>
          <w:sz w:val="18"/>
          <w:szCs w:val="18"/>
        </w:rPr>
        <w:br/>
        <w:t>CED Cassazione, 2019</w:t>
      </w:r>
      <w:r w:rsidRPr="00E0260E">
        <w:rPr>
          <w:rFonts w:ascii="Verdana" w:hAnsi="Verdana" w:cs="Times New Roman"/>
          <w:color w:val="000000"/>
          <w:sz w:val="18"/>
          <w:szCs w:val="18"/>
        </w:rPr>
        <w:br/>
        <w:t xml:space="preserve">Contratti, 2020, 2, </w:t>
      </w:r>
      <w:proofErr w:type="gramStart"/>
      <w:r w:rsidRPr="00E0260E">
        <w:rPr>
          <w:rFonts w:ascii="Verdana" w:hAnsi="Verdana" w:cs="Times New Roman"/>
          <w:color w:val="000000"/>
          <w:sz w:val="18"/>
          <w:szCs w:val="18"/>
        </w:rPr>
        <w:t>160 nota</w:t>
      </w:r>
      <w:proofErr w:type="gramEnd"/>
      <w:r w:rsidRPr="00E0260E">
        <w:rPr>
          <w:rFonts w:ascii="Verdana" w:hAnsi="Verdana" w:cs="Times New Roman"/>
          <w:color w:val="000000"/>
          <w:sz w:val="18"/>
          <w:szCs w:val="18"/>
        </w:rPr>
        <w:t xml:space="preserve"> di RESCHIGNA</w:t>
      </w:r>
      <w:r w:rsidRPr="00E0260E">
        <w:rPr>
          <w:rFonts w:ascii="Verdana" w:hAnsi="Verdana" w:cs="Times New Roman"/>
          <w:color w:val="000000"/>
          <w:sz w:val="18"/>
          <w:szCs w:val="18"/>
        </w:rPr>
        <w:br/>
        <w:t xml:space="preserve">Corriere </w:t>
      </w:r>
      <w:proofErr w:type="gramStart"/>
      <w:r w:rsidRPr="00E0260E">
        <w:rPr>
          <w:rFonts w:ascii="Verdana" w:hAnsi="Verdana" w:cs="Times New Roman"/>
          <w:color w:val="000000"/>
          <w:sz w:val="18"/>
          <w:szCs w:val="18"/>
        </w:rPr>
        <w:t>Giur.</w:t>
      </w:r>
      <w:proofErr w:type="gramEnd"/>
      <w:r w:rsidRPr="00E0260E">
        <w:rPr>
          <w:rFonts w:ascii="Verdana" w:hAnsi="Verdana" w:cs="Times New Roman"/>
          <w:color w:val="000000"/>
          <w:sz w:val="18"/>
          <w:szCs w:val="18"/>
        </w:rPr>
        <w:t>, 2020, 4, 510 nota di SPERANZIN</w:t>
      </w:r>
    </w:p>
    <w:p w14:paraId="270ED272" w14:textId="77777777" w:rsidR="00F72E68" w:rsidRPr="00F72E68" w:rsidRDefault="00F72E68" w:rsidP="00F72E68">
      <w:pPr>
        <w:jc w:val="both"/>
        <w:rPr>
          <w:rFonts w:ascii="Verdana" w:eastAsia="Times New Roman" w:hAnsi="Verdana" w:cs="Times New Roman"/>
          <w:b/>
          <w:bCs/>
          <w:color w:val="000000"/>
          <w:sz w:val="18"/>
          <w:szCs w:val="18"/>
        </w:rPr>
      </w:pPr>
      <w:r w:rsidRPr="00F72E68">
        <w:rPr>
          <w:rFonts w:ascii="Verdana" w:eastAsia="Times New Roman" w:hAnsi="Verdana" w:cs="Times New Roman"/>
          <w:b/>
          <w:bCs/>
          <w:color w:val="000000"/>
          <w:sz w:val="18"/>
          <w:szCs w:val="18"/>
        </w:rPr>
        <w:t xml:space="preserve">Cass. </w:t>
      </w:r>
      <w:proofErr w:type="gramStart"/>
      <w:r w:rsidRPr="00F72E68">
        <w:rPr>
          <w:rFonts w:ascii="Verdana" w:eastAsia="Times New Roman" w:hAnsi="Verdana" w:cs="Times New Roman"/>
          <w:b/>
          <w:bCs/>
          <w:color w:val="000000"/>
          <w:sz w:val="18"/>
          <w:szCs w:val="18"/>
        </w:rPr>
        <w:t>civ.</w:t>
      </w:r>
      <w:proofErr w:type="gramEnd"/>
      <w:r w:rsidRPr="00F72E68">
        <w:rPr>
          <w:rFonts w:ascii="Verdana" w:eastAsia="Times New Roman" w:hAnsi="Verdana" w:cs="Times New Roman"/>
          <w:b/>
          <w:bCs/>
          <w:color w:val="000000"/>
          <w:sz w:val="18"/>
          <w:szCs w:val="18"/>
        </w:rPr>
        <w:t xml:space="preserve"> Sez. II, 24-07-2014, n. 16963</w:t>
      </w:r>
    </w:p>
    <w:p w14:paraId="7EAC26E4" w14:textId="77777777" w:rsidR="00F72E68" w:rsidRPr="00F72E68" w:rsidRDefault="00F72E68" w:rsidP="00F72E68">
      <w:pPr>
        <w:jc w:val="both"/>
        <w:rPr>
          <w:rFonts w:ascii="Verdana" w:eastAsia="Times New Roman" w:hAnsi="Verdana" w:cs="Times New Roman"/>
          <w:color w:val="000000"/>
          <w:sz w:val="18"/>
          <w:szCs w:val="18"/>
        </w:rPr>
      </w:pPr>
      <w:r w:rsidRPr="00F72E68">
        <w:rPr>
          <w:rFonts w:ascii="Verdana" w:eastAsia="Times New Roman" w:hAnsi="Verdana" w:cs="Times New Roman"/>
          <w:color w:val="000000"/>
          <w:sz w:val="18"/>
          <w:szCs w:val="18"/>
        </w:rPr>
        <w:t>Granarolo S.p.A. c. Granarolo S.p.A. e altri</w:t>
      </w:r>
    </w:p>
    <w:p w14:paraId="2D5D03F9" w14:textId="77777777" w:rsidR="00F72E68" w:rsidRPr="00F72E68" w:rsidRDefault="00F72E68" w:rsidP="00F72E68">
      <w:pPr>
        <w:shd w:val="clear" w:color="auto" w:fill="F3F3F3"/>
        <w:jc w:val="both"/>
        <w:rPr>
          <w:rFonts w:ascii="Verdana" w:eastAsia="Times New Roman" w:hAnsi="Verdana" w:cs="Times New Roman"/>
          <w:color w:val="000000"/>
          <w:sz w:val="18"/>
          <w:szCs w:val="18"/>
        </w:rPr>
      </w:pPr>
      <w:r w:rsidRPr="00F72E68">
        <w:rPr>
          <w:rFonts w:ascii="Verdana" w:eastAsia="Times New Roman" w:hAnsi="Verdana" w:cs="Times New Roman"/>
          <w:color w:val="000000"/>
          <w:sz w:val="18"/>
          <w:szCs w:val="18"/>
        </w:rPr>
        <w:br/>
      </w:r>
      <w:r w:rsidRPr="00F72E68">
        <w:rPr>
          <w:rFonts w:ascii="Verdana" w:eastAsia="Times New Roman" w:hAnsi="Verdana" w:cs="Times New Roman"/>
          <w:b/>
          <w:bCs/>
          <w:color w:val="000000"/>
          <w:sz w:val="18"/>
          <w:szCs w:val="18"/>
        </w:rPr>
        <w:t>PRESCRIZIONE E DECADENZA CIVILE</w:t>
      </w:r>
      <w:r w:rsidRPr="00F72E68">
        <w:rPr>
          <w:rFonts w:ascii="Verdana" w:eastAsia="Times New Roman" w:hAnsi="Verdana" w:cs="Times New Roman"/>
          <w:color w:val="000000"/>
          <w:sz w:val="18"/>
          <w:szCs w:val="18"/>
        </w:rPr>
        <w:t> </w:t>
      </w:r>
      <w:r w:rsidRPr="00F72E68">
        <w:rPr>
          <w:rFonts w:ascii="Verdana" w:eastAsia="Times New Roman" w:hAnsi="Verdana" w:cs="Times New Roman"/>
          <w:color w:val="000000"/>
          <w:sz w:val="18"/>
          <w:szCs w:val="18"/>
        </w:rPr>
        <w:br/>
        <w:t>Prescrizione </w:t>
      </w:r>
      <w:r w:rsidRPr="00F72E68">
        <w:rPr>
          <w:rFonts w:ascii="Verdana" w:eastAsia="Times New Roman" w:hAnsi="Verdana" w:cs="Times New Roman"/>
          <w:color w:val="000000"/>
          <w:sz w:val="18"/>
          <w:szCs w:val="18"/>
        </w:rPr>
        <w:br/>
        <w:t>ordinaria decennale</w:t>
      </w:r>
    </w:p>
    <w:p w14:paraId="646E26C5" w14:textId="77777777" w:rsidR="00F72E68" w:rsidRPr="00F72E68" w:rsidRDefault="00F72E68" w:rsidP="00F72E68">
      <w:pPr>
        <w:spacing w:before="100" w:beforeAutospacing="1" w:after="100" w:afterAutospacing="1"/>
        <w:jc w:val="both"/>
        <w:rPr>
          <w:rFonts w:ascii="Verdana" w:hAnsi="Verdana" w:cs="Times New Roman"/>
          <w:color w:val="000000"/>
          <w:sz w:val="18"/>
          <w:szCs w:val="18"/>
        </w:rPr>
      </w:pPr>
      <w:r w:rsidRPr="00F72E68">
        <w:rPr>
          <w:rFonts w:ascii="Verdana" w:hAnsi="Verdana" w:cs="Times New Roman"/>
          <w:color w:val="000000"/>
          <w:sz w:val="18"/>
          <w:szCs w:val="18"/>
        </w:rPr>
        <w:t>In tema di cessione delle partecipazioni sociali, le clausole con le quali il venditore assuma l'impegno di tenere indenne l'acquirente dal rischio connesso al verificarsi, successivamente alla conclusione del contratto, di perdite o di sopravvenienze passive della società hanno ad oggetto obbligazioni accessorie al trasferimento del diritto oggettivo del contratto, che sono volte a garantire l'esito economico dell'operazione; pertanto, non rientrando tali pattuizioni nella garanzia legale relativa alla mancanza delle qualità promesse ai sensi </w:t>
      </w:r>
      <w:hyperlink r:id="rId8" w:history="1">
        <w:r w:rsidRPr="00F72E68">
          <w:rPr>
            <w:rFonts w:ascii="Verdana" w:hAnsi="Verdana" w:cs="Times New Roman"/>
            <w:i/>
            <w:iCs/>
            <w:color w:val="0000FF"/>
            <w:sz w:val="18"/>
            <w:szCs w:val="18"/>
          </w:rPr>
          <w:t>dell'art. 1497 c.c.</w:t>
        </w:r>
      </w:hyperlink>
      <w:r w:rsidRPr="00F72E68">
        <w:rPr>
          <w:rFonts w:ascii="Verdana" w:hAnsi="Verdana" w:cs="Times New Roman"/>
          <w:color w:val="000000"/>
          <w:sz w:val="18"/>
          <w:szCs w:val="18"/>
        </w:rPr>
        <w:t>, trova applicazione la prescrizione ordinaria decennale e non quella di cui </w:t>
      </w:r>
      <w:hyperlink r:id="rId9" w:history="1">
        <w:r w:rsidRPr="00F72E68">
          <w:rPr>
            <w:rFonts w:ascii="Verdana" w:hAnsi="Verdana" w:cs="Times New Roman"/>
            <w:i/>
            <w:iCs/>
            <w:color w:val="0000FF"/>
            <w:sz w:val="18"/>
            <w:szCs w:val="18"/>
          </w:rPr>
          <w:t>all'art. 1495 c.c.</w:t>
        </w:r>
      </w:hyperlink>
      <w:r w:rsidRPr="00F72E68">
        <w:rPr>
          <w:rFonts w:ascii="Verdana" w:hAnsi="Verdana" w:cs="Times New Roman"/>
          <w:color w:val="000000"/>
          <w:sz w:val="18"/>
          <w:szCs w:val="18"/>
        </w:rPr>
        <w:t>, richiamato </w:t>
      </w:r>
      <w:hyperlink r:id="rId10" w:history="1">
        <w:r w:rsidRPr="00F72E68">
          <w:rPr>
            <w:rFonts w:ascii="Verdana" w:hAnsi="Verdana" w:cs="Times New Roman"/>
            <w:i/>
            <w:iCs/>
            <w:color w:val="0000FF"/>
            <w:sz w:val="18"/>
            <w:szCs w:val="18"/>
          </w:rPr>
          <w:t>dall'art. 1497 c.c.</w:t>
        </w:r>
      </w:hyperlink>
    </w:p>
    <w:p w14:paraId="70D2400F" w14:textId="77777777" w:rsidR="00F72E68" w:rsidRPr="00F72E68" w:rsidRDefault="00F72E68" w:rsidP="00F72E68">
      <w:pPr>
        <w:spacing w:before="100" w:beforeAutospacing="1" w:after="100" w:afterAutospacing="1"/>
        <w:jc w:val="both"/>
        <w:rPr>
          <w:rFonts w:ascii="Verdana" w:hAnsi="Verdana" w:cs="Times New Roman"/>
          <w:color w:val="000000"/>
          <w:sz w:val="18"/>
          <w:szCs w:val="18"/>
        </w:rPr>
      </w:pPr>
      <w:r w:rsidRPr="00F72E68">
        <w:rPr>
          <w:rFonts w:ascii="Verdana" w:hAnsi="Verdana" w:cs="Times New Roman"/>
          <w:b/>
          <w:bCs/>
          <w:color w:val="000000"/>
          <w:sz w:val="18"/>
          <w:szCs w:val="18"/>
        </w:rPr>
        <w:t>FONTI</w:t>
      </w:r>
      <w:r w:rsidRPr="00F72E68">
        <w:rPr>
          <w:rFonts w:ascii="Verdana" w:hAnsi="Verdana" w:cs="Times New Roman"/>
          <w:color w:val="000000"/>
          <w:sz w:val="18"/>
          <w:szCs w:val="18"/>
        </w:rPr>
        <w:br/>
        <w:t xml:space="preserve">Giur. </w:t>
      </w:r>
      <w:proofErr w:type="gramStart"/>
      <w:r w:rsidRPr="00F72E68">
        <w:rPr>
          <w:rFonts w:ascii="Verdana" w:hAnsi="Verdana" w:cs="Times New Roman"/>
          <w:color w:val="000000"/>
          <w:sz w:val="18"/>
          <w:szCs w:val="18"/>
        </w:rPr>
        <w:t>It.</w:t>
      </w:r>
      <w:proofErr w:type="gramEnd"/>
      <w:r w:rsidRPr="00F72E68">
        <w:rPr>
          <w:rFonts w:ascii="Verdana" w:hAnsi="Verdana" w:cs="Times New Roman"/>
          <w:color w:val="000000"/>
          <w:sz w:val="18"/>
          <w:szCs w:val="18"/>
        </w:rPr>
        <w:t>, 2014, 11, 1406 nota di IORIO</w:t>
      </w:r>
      <w:r w:rsidRPr="00F72E68">
        <w:rPr>
          <w:rFonts w:ascii="Verdana" w:hAnsi="Verdana" w:cs="Times New Roman"/>
          <w:color w:val="000000"/>
          <w:sz w:val="18"/>
          <w:szCs w:val="18"/>
        </w:rPr>
        <w:br/>
        <w:t xml:space="preserve">Foro </w:t>
      </w:r>
      <w:proofErr w:type="gramStart"/>
      <w:r w:rsidRPr="00F72E68">
        <w:rPr>
          <w:rFonts w:ascii="Verdana" w:hAnsi="Verdana" w:cs="Times New Roman"/>
          <w:color w:val="000000"/>
          <w:sz w:val="18"/>
          <w:szCs w:val="18"/>
        </w:rPr>
        <w:t>It.</w:t>
      </w:r>
      <w:proofErr w:type="gramEnd"/>
      <w:r w:rsidRPr="00F72E68">
        <w:rPr>
          <w:rFonts w:ascii="Verdana" w:hAnsi="Verdana" w:cs="Times New Roman"/>
          <w:color w:val="000000"/>
          <w:sz w:val="18"/>
          <w:szCs w:val="18"/>
        </w:rPr>
        <w:t>, 2015, 12, 4001</w:t>
      </w:r>
    </w:p>
    <w:p w14:paraId="4CF08040" w14:textId="77777777" w:rsidR="00F72E68" w:rsidRPr="00F72E68" w:rsidRDefault="00F72E68" w:rsidP="00F72E68">
      <w:pPr>
        <w:jc w:val="both"/>
        <w:rPr>
          <w:rFonts w:ascii="Verdana" w:eastAsia="Times New Roman" w:hAnsi="Verdana" w:cs="Times New Roman"/>
          <w:b/>
          <w:bCs/>
          <w:color w:val="000000"/>
          <w:sz w:val="18"/>
          <w:szCs w:val="18"/>
        </w:rPr>
      </w:pPr>
      <w:r w:rsidRPr="00F72E68">
        <w:rPr>
          <w:rFonts w:ascii="Verdana" w:eastAsia="Times New Roman" w:hAnsi="Verdana" w:cs="Times New Roman"/>
          <w:b/>
          <w:bCs/>
          <w:color w:val="000000"/>
          <w:sz w:val="18"/>
          <w:szCs w:val="18"/>
        </w:rPr>
        <w:t xml:space="preserve">Cass. </w:t>
      </w:r>
      <w:proofErr w:type="gramStart"/>
      <w:r w:rsidRPr="00F72E68">
        <w:rPr>
          <w:rFonts w:ascii="Verdana" w:eastAsia="Times New Roman" w:hAnsi="Verdana" w:cs="Times New Roman"/>
          <w:b/>
          <w:bCs/>
          <w:color w:val="000000"/>
          <w:sz w:val="18"/>
          <w:szCs w:val="18"/>
        </w:rPr>
        <w:t>civ.</w:t>
      </w:r>
      <w:proofErr w:type="gramEnd"/>
      <w:r w:rsidRPr="00F72E68">
        <w:rPr>
          <w:rFonts w:ascii="Verdana" w:eastAsia="Times New Roman" w:hAnsi="Verdana" w:cs="Times New Roman"/>
          <w:b/>
          <w:bCs/>
          <w:color w:val="000000"/>
          <w:sz w:val="18"/>
          <w:szCs w:val="18"/>
        </w:rPr>
        <w:t xml:space="preserve"> Sez. I, 09-09-2004, n. 18181 (rv. 580229)</w:t>
      </w:r>
    </w:p>
    <w:p w14:paraId="4174FA61" w14:textId="77777777" w:rsidR="00F72E68" w:rsidRPr="00F72E68" w:rsidRDefault="00F72E68" w:rsidP="00F72E68">
      <w:pPr>
        <w:shd w:val="clear" w:color="auto" w:fill="F3F3F3"/>
        <w:jc w:val="both"/>
        <w:rPr>
          <w:rFonts w:ascii="Verdana" w:eastAsia="Times New Roman" w:hAnsi="Verdana" w:cs="Times New Roman"/>
          <w:color w:val="000000"/>
          <w:sz w:val="18"/>
          <w:szCs w:val="18"/>
        </w:rPr>
      </w:pPr>
      <w:r w:rsidRPr="00F72E68">
        <w:rPr>
          <w:rFonts w:ascii="Verdana" w:eastAsia="Times New Roman" w:hAnsi="Verdana" w:cs="Times New Roman"/>
          <w:color w:val="000000"/>
          <w:sz w:val="18"/>
          <w:szCs w:val="18"/>
        </w:rPr>
        <w:br/>
      </w:r>
      <w:r w:rsidRPr="00F72E68">
        <w:rPr>
          <w:rFonts w:ascii="Verdana" w:eastAsia="Times New Roman" w:hAnsi="Verdana" w:cs="Times New Roman"/>
          <w:b/>
          <w:bCs/>
          <w:color w:val="000000"/>
          <w:sz w:val="18"/>
          <w:szCs w:val="18"/>
        </w:rPr>
        <w:t>OBBLIGAZIONI E CONTRATTI</w:t>
      </w:r>
      <w:r w:rsidRPr="00F72E68">
        <w:rPr>
          <w:rFonts w:ascii="Verdana" w:eastAsia="Times New Roman" w:hAnsi="Verdana" w:cs="Times New Roman"/>
          <w:color w:val="000000"/>
          <w:sz w:val="18"/>
          <w:szCs w:val="18"/>
        </w:rPr>
        <w:t> </w:t>
      </w:r>
      <w:r w:rsidRPr="00F72E68">
        <w:rPr>
          <w:rFonts w:ascii="Verdana" w:eastAsia="Times New Roman" w:hAnsi="Verdana" w:cs="Times New Roman"/>
          <w:color w:val="000000"/>
          <w:sz w:val="18"/>
          <w:szCs w:val="18"/>
        </w:rPr>
        <w:br/>
        <w:t>Risoluzione del contratto per inadempimento </w:t>
      </w:r>
      <w:r w:rsidRPr="00F72E68">
        <w:rPr>
          <w:rFonts w:ascii="Verdana" w:eastAsia="Times New Roman" w:hAnsi="Verdana" w:cs="Times New Roman"/>
          <w:color w:val="000000"/>
          <w:sz w:val="18"/>
          <w:szCs w:val="18"/>
        </w:rPr>
        <w:br/>
      </w:r>
      <w:proofErr w:type="gramStart"/>
      <w:r w:rsidRPr="00F72E68">
        <w:rPr>
          <w:rFonts w:ascii="Verdana" w:eastAsia="Times New Roman" w:hAnsi="Verdana" w:cs="Times New Roman"/>
          <w:color w:val="000000"/>
          <w:sz w:val="18"/>
          <w:szCs w:val="18"/>
        </w:rPr>
        <w:t>(inadempimento</w:t>
      </w:r>
      <w:proofErr w:type="gramEnd"/>
      <w:r w:rsidRPr="00F72E68">
        <w:rPr>
          <w:rFonts w:ascii="Verdana" w:eastAsia="Times New Roman" w:hAnsi="Verdana" w:cs="Times New Roman"/>
          <w:color w:val="000000"/>
          <w:sz w:val="18"/>
          <w:szCs w:val="18"/>
        </w:rPr>
        <w:t>) </w:t>
      </w:r>
      <w:r w:rsidRPr="00F72E68">
        <w:rPr>
          <w:rFonts w:ascii="Verdana" w:eastAsia="Times New Roman" w:hAnsi="Verdana" w:cs="Times New Roman"/>
          <w:color w:val="000000"/>
          <w:sz w:val="18"/>
          <w:szCs w:val="18"/>
        </w:rPr>
        <w:br/>
      </w:r>
      <w:r w:rsidRPr="00F72E68">
        <w:rPr>
          <w:rFonts w:ascii="Verdana" w:eastAsia="Times New Roman" w:hAnsi="Verdana" w:cs="Times New Roman"/>
          <w:b/>
          <w:bCs/>
          <w:color w:val="000000"/>
          <w:sz w:val="18"/>
          <w:szCs w:val="18"/>
        </w:rPr>
        <w:t>SOCIETA'</w:t>
      </w:r>
      <w:r w:rsidRPr="00F72E68">
        <w:rPr>
          <w:rFonts w:ascii="Verdana" w:eastAsia="Times New Roman" w:hAnsi="Verdana" w:cs="Times New Roman"/>
          <w:color w:val="000000"/>
          <w:sz w:val="18"/>
          <w:szCs w:val="18"/>
        </w:rPr>
        <w:t> </w:t>
      </w:r>
      <w:r w:rsidRPr="00F72E68">
        <w:rPr>
          <w:rFonts w:ascii="Verdana" w:eastAsia="Times New Roman" w:hAnsi="Verdana" w:cs="Times New Roman"/>
          <w:color w:val="000000"/>
          <w:sz w:val="18"/>
          <w:szCs w:val="18"/>
        </w:rPr>
        <w:br/>
        <w:t>Azioni</w:t>
      </w:r>
      <w:proofErr w:type="gramStart"/>
      <w:r w:rsidRPr="00F72E68">
        <w:rPr>
          <w:rFonts w:ascii="Verdana" w:eastAsia="Times New Roman" w:hAnsi="Verdana" w:cs="Times New Roman"/>
          <w:color w:val="000000"/>
          <w:sz w:val="18"/>
          <w:szCs w:val="18"/>
        </w:rPr>
        <w:t> </w:t>
      </w:r>
      <w:r w:rsidRPr="00F72E68">
        <w:rPr>
          <w:rFonts w:ascii="Verdana" w:eastAsia="Times New Roman" w:hAnsi="Verdana" w:cs="Times New Roman"/>
          <w:color w:val="000000"/>
          <w:sz w:val="18"/>
          <w:szCs w:val="18"/>
        </w:rPr>
        <w:br/>
      </w:r>
      <w:proofErr w:type="gramEnd"/>
      <w:r w:rsidRPr="00F72E68">
        <w:rPr>
          <w:rFonts w:ascii="Verdana" w:eastAsia="Times New Roman" w:hAnsi="Verdana" w:cs="Times New Roman"/>
          <w:color w:val="000000"/>
          <w:sz w:val="18"/>
          <w:szCs w:val="18"/>
        </w:rPr>
        <w:t>in genere</w:t>
      </w:r>
    </w:p>
    <w:p w14:paraId="3FB640FE" w14:textId="77777777" w:rsidR="00F72E68" w:rsidRPr="00F72E68" w:rsidRDefault="00F72E68" w:rsidP="00F72E68">
      <w:pPr>
        <w:spacing w:before="100" w:beforeAutospacing="1" w:after="100" w:afterAutospacing="1"/>
        <w:jc w:val="both"/>
        <w:rPr>
          <w:rFonts w:ascii="Verdana" w:hAnsi="Verdana" w:cs="Times New Roman"/>
          <w:color w:val="000000"/>
          <w:sz w:val="18"/>
          <w:szCs w:val="18"/>
        </w:rPr>
      </w:pPr>
      <w:r w:rsidRPr="00F72E68">
        <w:rPr>
          <w:rFonts w:ascii="Verdana" w:hAnsi="Verdana" w:cs="Times New Roman"/>
          <w:color w:val="000000"/>
          <w:sz w:val="18"/>
          <w:szCs w:val="18"/>
        </w:rPr>
        <w:lastRenderedPageBreak/>
        <w:t xml:space="preserve">Le azioni (e le quote) delle società di capitali costituiscono beni di "secondo grado", in quanto non sono del tutto distinti e separati da quelli compresi nel patrimonio sociale, e sono rappresentative delle posizioni giuridiche spettanti ai soci in ordine alla gestione ed </w:t>
      </w:r>
      <w:proofErr w:type="gramStart"/>
      <w:r w:rsidRPr="00F72E68">
        <w:rPr>
          <w:rFonts w:ascii="Verdana" w:hAnsi="Verdana" w:cs="Times New Roman"/>
          <w:color w:val="000000"/>
          <w:sz w:val="18"/>
          <w:szCs w:val="18"/>
        </w:rPr>
        <w:t xml:space="preserve">alla </w:t>
      </w:r>
      <w:proofErr w:type="gramEnd"/>
      <w:r w:rsidRPr="00F72E68">
        <w:rPr>
          <w:rFonts w:ascii="Verdana" w:hAnsi="Verdana" w:cs="Times New Roman"/>
          <w:color w:val="000000"/>
          <w:sz w:val="18"/>
          <w:szCs w:val="18"/>
        </w:rPr>
        <w:t>utilizzazione di detti beni, funzionalmente destinati all'esercizio dell'attività sociale; pertanto, i beni compresi nel patrimonio della società non possono essere considerati del tutto estranei all'oggetto del contratto di cessione del trasferimento delle azioni o delle quote di una società di capitali, sia se le parti abbiano fatto espresso riferimento agli stessi, mediante la previsione di specifiche garanzie contrattuali, sia se l'affidamento del cessionario debba ritenersi giustificato alla stregua del principio di buona fede. Ne consegue che la differenza tra l'effettiva consistenza quantitativa del patrimonio sociale rispetto a quella indicata nel contratto, incidendo sulla solidità economica e sulla produttività della società, quindi sul valore delle azioni o delle quote, può integrare la mancanza delle qualità essenziali della cosa, che rende ammissibile la risoluzione del contratto "ex" </w:t>
      </w:r>
      <w:hyperlink r:id="rId11" w:history="1">
        <w:r w:rsidRPr="00F72E68">
          <w:rPr>
            <w:rFonts w:ascii="Verdana" w:hAnsi="Verdana" w:cs="Times New Roman"/>
            <w:i/>
            <w:iCs/>
            <w:color w:val="0000FF"/>
            <w:sz w:val="18"/>
            <w:szCs w:val="18"/>
          </w:rPr>
          <w:t>art. 1497, c.c.</w:t>
        </w:r>
      </w:hyperlink>
      <w:r w:rsidRPr="00F72E68">
        <w:rPr>
          <w:rFonts w:ascii="Verdana" w:hAnsi="Verdana" w:cs="Times New Roman"/>
          <w:color w:val="000000"/>
          <w:sz w:val="18"/>
          <w:szCs w:val="18"/>
        </w:rPr>
        <w:t>, ovvero, qualora i beni siano assolutamente privi della capacità funzionale a soddisfare i bisogni dell'acquirente, quindi "radicalmente diversi" da quelli pattuiti, l'esperimento di un'ordinaria azione di risoluzione "ex" </w:t>
      </w:r>
      <w:hyperlink r:id="rId12" w:history="1">
        <w:r w:rsidRPr="00F72E68">
          <w:rPr>
            <w:rFonts w:ascii="Verdana" w:hAnsi="Verdana" w:cs="Times New Roman"/>
            <w:i/>
            <w:iCs/>
            <w:color w:val="0000FF"/>
            <w:sz w:val="18"/>
            <w:szCs w:val="18"/>
          </w:rPr>
          <w:t>art. 1453 c.c.</w:t>
        </w:r>
      </w:hyperlink>
      <w:r w:rsidRPr="00F72E68">
        <w:rPr>
          <w:rFonts w:ascii="Verdana" w:hAnsi="Verdana" w:cs="Times New Roman"/>
          <w:color w:val="000000"/>
          <w:sz w:val="18"/>
          <w:szCs w:val="18"/>
        </w:rPr>
        <w:t>, svincolata dai termini di decadenza e prescrizione previsti </w:t>
      </w:r>
      <w:hyperlink r:id="rId13" w:history="1">
        <w:r w:rsidRPr="00F72E68">
          <w:rPr>
            <w:rFonts w:ascii="Verdana" w:hAnsi="Verdana" w:cs="Times New Roman"/>
            <w:i/>
            <w:iCs/>
            <w:color w:val="0000FF"/>
            <w:sz w:val="18"/>
            <w:szCs w:val="18"/>
          </w:rPr>
          <w:t>dall'art. 1495 c.c.</w:t>
        </w:r>
      </w:hyperlink>
      <w:proofErr w:type="gramStart"/>
      <w:r w:rsidRPr="00F72E68">
        <w:rPr>
          <w:rFonts w:ascii="Verdana" w:hAnsi="Verdana" w:cs="Times New Roman"/>
          <w:color w:val="000000"/>
          <w:sz w:val="18"/>
          <w:szCs w:val="18"/>
        </w:rPr>
        <w:t>(</w:t>
      </w:r>
      <w:proofErr w:type="gramEnd"/>
      <w:r w:rsidRPr="00F72E68">
        <w:rPr>
          <w:rFonts w:ascii="Verdana" w:hAnsi="Verdana" w:cs="Times New Roman"/>
          <w:color w:val="000000"/>
          <w:sz w:val="18"/>
          <w:szCs w:val="18"/>
        </w:rPr>
        <w:t>Nella specie, successivamente alla stipula del contratto di cessione di azioni di una S.p.A., erano state accertate irregolarità fiscali nella gestione della società, con conseguente irrogazione in danno della stessa di sanzioni tributarie di importo elevatissimo, che ne avevano determinato il fallimento; la S.C. in applicazione del succitato principio, ha cassato con rinvio la sentenza impugnata, che aveva escluso la proponibilità dell'azione di risoluzione per la vendita di 'aliud pro alio').</w:t>
      </w:r>
    </w:p>
    <w:p w14:paraId="4DE81D60" w14:textId="77777777" w:rsidR="00F72E68" w:rsidRPr="00F72E68" w:rsidRDefault="00F72E68" w:rsidP="00F72E68">
      <w:pPr>
        <w:spacing w:before="100" w:beforeAutospacing="1" w:after="100" w:afterAutospacing="1"/>
        <w:jc w:val="both"/>
        <w:rPr>
          <w:rFonts w:ascii="Verdana" w:hAnsi="Verdana" w:cs="Times New Roman"/>
          <w:color w:val="000000"/>
          <w:sz w:val="18"/>
          <w:szCs w:val="18"/>
        </w:rPr>
      </w:pPr>
      <w:r w:rsidRPr="00F72E68">
        <w:rPr>
          <w:rFonts w:ascii="Verdana" w:hAnsi="Verdana" w:cs="Times New Roman"/>
          <w:b/>
          <w:bCs/>
          <w:color w:val="000000"/>
          <w:sz w:val="18"/>
          <w:szCs w:val="18"/>
        </w:rPr>
        <w:t>FONTI</w:t>
      </w:r>
      <w:r w:rsidRPr="00F72E68">
        <w:rPr>
          <w:rFonts w:ascii="Verdana" w:hAnsi="Verdana" w:cs="Times New Roman"/>
          <w:color w:val="000000"/>
          <w:sz w:val="18"/>
          <w:szCs w:val="18"/>
        </w:rPr>
        <w:br/>
        <w:t xml:space="preserve">Mass. Giur. </w:t>
      </w:r>
      <w:proofErr w:type="gramStart"/>
      <w:r w:rsidRPr="00F72E68">
        <w:rPr>
          <w:rFonts w:ascii="Verdana" w:hAnsi="Verdana" w:cs="Times New Roman"/>
          <w:color w:val="000000"/>
          <w:sz w:val="18"/>
          <w:szCs w:val="18"/>
        </w:rPr>
        <w:t>It.</w:t>
      </w:r>
      <w:proofErr w:type="gramEnd"/>
      <w:r w:rsidRPr="00F72E68">
        <w:rPr>
          <w:rFonts w:ascii="Verdana" w:hAnsi="Verdana" w:cs="Times New Roman"/>
          <w:color w:val="000000"/>
          <w:sz w:val="18"/>
          <w:szCs w:val="18"/>
        </w:rPr>
        <w:t>, 2004</w:t>
      </w:r>
      <w:r w:rsidRPr="00F72E68">
        <w:rPr>
          <w:rFonts w:ascii="Verdana" w:hAnsi="Verdana" w:cs="Times New Roman"/>
          <w:color w:val="000000"/>
          <w:sz w:val="18"/>
          <w:szCs w:val="18"/>
        </w:rPr>
        <w:br/>
        <w:t>CED Cassazione, 2004</w:t>
      </w:r>
    </w:p>
    <w:p w14:paraId="5CBBC231" w14:textId="77777777" w:rsidR="00F72E68" w:rsidRPr="00F72E68" w:rsidRDefault="00F72E68" w:rsidP="00F72E68">
      <w:pPr>
        <w:jc w:val="both"/>
        <w:rPr>
          <w:rFonts w:ascii="Verdana" w:eastAsia="Times New Roman" w:hAnsi="Verdana" w:cs="Times New Roman"/>
          <w:b/>
          <w:bCs/>
          <w:color w:val="000000"/>
          <w:sz w:val="18"/>
          <w:szCs w:val="18"/>
        </w:rPr>
      </w:pPr>
      <w:r w:rsidRPr="00F72E68">
        <w:rPr>
          <w:rFonts w:ascii="Verdana" w:eastAsia="Times New Roman" w:hAnsi="Verdana" w:cs="Times New Roman"/>
          <w:b/>
          <w:bCs/>
          <w:color w:val="000000"/>
          <w:sz w:val="18"/>
          <w:szCs w:val="18"/>
        </w:rPr>
        <w:t xml:space="preserve">Cass. </w:t>
      </w:r>
      <w:proofErr w:type="gramStart"/>
      <w:r w:rsidRPr="00F72E68">
        <w:rPr>
          <w:rFonts w:ascii="Verdana" w:eastAsia="Times New Roman" w:hAnsi="Verdana" w:cs="Times New Roman"/>
          <w:b/>
          <w:bCs/>
          <w:color w:val="000000"/>
          <w:sz w:val="18"/>
          <w:szCs w:val="18"/>
        </w:rPr>
        <w:t>civ.</w:t>
      </w:r>
      <w:proofErr w:type="gramEnd"/>
      <w:r w:rsidRPr="00F72E68">
        <w:rPr>
          <w:rFonts w:ascii="Verdana" w:eastAsia="Times New Roman" w:hAnsi="Verdana" w:cs="Times New Roman"/>
          <w:b/>
          <w:bCs/>
          <w:color w:val="000000"/>
          <w:sz w:val="18"/>
          <w:szCs w:val="18"/>
        </w:rPr>
        <w:t xml:space="preserve"> Sez. I, 20-02-2004, n. 3370</w:t>
      </w:r>
    </w:p>
    <w:p w14:paraId="2A15B53B" w14:textId="77777777" w:rsidR="00F72E68" w:rsidRPr="00F72E68" w:rsidRDefault="00F72E68" w:rsidP="00F72E68">
      <w:pPr>
        <w:jc w:val="both"/>
        <w:rPr>
          <w:rFonts w:ascii="Verdana" w:eastAsia="Times New Roman" w:hAnsi="Verdana" w:cs="Times New Roman"/>
          <w:color w:val="000000"/>
          <w:sz w:val="18"/>
          <w:szCs w:val="18"/>
        </w:rPr>
      </w:pPr>
      <w:r w:rsidRPr="00F72E68">
        <w:rPr>
          <w:rFonts w:ascii="Verdana" w:eastAsia="Times New Roman" w:hAnsi="Verdana" w:cs="Times New Roman"/>
          <w:color w:val="000000"/>
          <w:sz w:val="18"/>
          <w:szCs w:val="18"/>
        </w:rPr>
        <w:t>Giacomelli e altri c. Fin. Recos s.r.l.</w:t>
      </w:r>
    </w:p>
    <w:p w14:paraId="1DD673B3" w14:textId="77777777" w:rsidR="00F72E68" w:rsidRPr="00F72E68" w:rsidRDefault="00F72E68" w:rsidP="00F72E68">
      <w:pPr>
        <w:shd w:val="clear" w:color="auto" w:fill="F3F3F3"/>
        <w:jc w:val="both"/>
        <w:rPr>
          <w:rFonts w:ascii="Verdana" w:eastAsia="Times New Roman" w:hAnsi="Verdana" w:cs="Times New Roman"/>
          <w:color w:val="000000"/>
          <w:sz w:val="18"/>
          <w:szCs w:val="18"/>
        </w:rPr>
      </w:pPr>
      <w:r w:rsidRPr="00F72E68">
        <w:rPr>
          <w:rFonts w:ascii="Verdana" w:eastAsia="Times New Roman" w:hAnsi="Verdana" w:cs="Times New Roman"/>
          <w:color w:val="000000"/>
          <w:sz w:val="18"/>
          <w:szCs w:val="18"/>
        </w:rPr>
        <w:br/>
      </w:r>
      <w:r w:rsidRPr="00F72E68">
        <w:rPr>
          <w:rFonts w:ascii="Verdana" w:eastAsia="Times New Roman" w:hAnsi="Verdana" w:cs="Times New Roman"/>
          <w:b/>
          <w:bCs/>
          <w:color w:val="000000"/>
          <w:sz w:val="18"/>
          <w:szCs w:val="18"/>
        </w:rPr>
        <w:t>VENDITA</w:t>
      </w:r>
      <w:r w:rsidRPr="00F72E68">
        <w:rPr>
          <w:rFonts w:ascii="Verdana" w:eastAsia="Times New Roman" w:hAnsi="Verdana" w:cs="Times New Roman"/>
          <w:color w:val="000000"/>
          <w:sz w:val="18"/>
          <w:szCs w:val="18"/>
        </w:rPr>
        <w:t> </w:t>
      </w:r>
      <w:r w:rsidRPr="00F72E68">
        <w:rPr>
          <w:rFonts w:ascii="Verdana" w:eastAsia="Times New Roman" w:hAnsi="Verdana" w:cs="Times New Roman"/>
          <w:color w:val="000000"/>
          <w:sz w:val="18"/>
          <w:szCs w:val="18"/>
        </w:rPr>
        <w:br/>
        <w:t>Garanzia per i vizi della cosa venduta</w:t>
      </w:r>
      <w:proofErr w:type="gramStart"/>
      <w:r w:rsidRPr="00F72E68">
        <w:rPr>
          <w:rFonts w:ascii="Verdana" w:eastAsia="Times New Roman" w:hAnsi="Verdana" w:cs="Times New Roman"/>
          <w:color w:val="000000"/>
          <w:sz w:val="18"/>
          <w:szCs w:val="18"/>
        </w:rPr>
        <w:t> </w:t>
      </w:r>
      <w:r w:rsidRPr="00F72E68">
        <w:rPr>
          <w:rFonts w:ascii="Verdana" w:eastAsia="Times New Roman" w:hAnsi="Verdana" w:cs="Times New Roman"/>
          <w:color w:val="000000"/>
          <w:sz w:val="18"/>
          <w:szCs w:val="18"/>
        </w:rPr>
        <w:br/>
      </w:r>
      <w:proofErr w:type="gramEnd"/>
      <w:r w:rsidRPr="00F72E68">
        <w:rPr>
          <w:rFonts w:ascii="Verdana" w:eastAsia="Times New Roman" w:hAnsi="Verdana" w:cs="Times New Roman"/>
          <w:color w:val="000000"/>
          <w:sz w:val="18"/>
          <w:szCs w:val="18"/>
        </w:rPr>
        <w:t>in genere</w:t>
      </w:r>
    </w:p>
    <w:p w14:paraId="472156A5" w14:textId="77777777" w:rsidR="00F72E68" w:rsidRPr="00F72E68" w:rsidRDefault="00F72E68" w:rsidP="00F72E68">
      <w:pPr>
        <w:spacing w:before="100" w:beforeAutospacing="1" w:after="100" w:afterAutospacing="1"/>
        <w:jc w:val="both"/>
        <w:rPr>
          <w:rFonts w:ascii="Verdana" w:hAnsi="Verdana" w:cs="Times New Roman"/>
          <w:color w:val="000000"/>
          <w:sz w:val="18"/>
          <w:szCs w:val="18"/>
        </w:rPr>
      </w:pPr>
      <w:r w:rsidRPr="00F72E68">
        <w:rPr>
          <w:rFonts w:ascii="Verdana" w:hAnsi="Verdana" w:cs="Times New Roman"/>
          <w:color w:val="000000"/>
          <w:sz w:val="18"/>
          <w:szCs w:val="18"/>
        </w:rPr>
        <w:t xml:space="preserve">Le norme, in tema di vendita, che stabiliscono l'obbligo del venditore di garantire il compratore per l'esistenza di vizi o difetto di qualità </w:t>
      </w:r>
      <w:proofErr w:type="gramStart"/>
      <w:r w:rsidRPr="00F72E68">
        <w:rPr>
          <w:rFonts w:ascii="Verdana" w:hAnsi="Verdana" w:cs="Times New Roman"/>
          <w:color w:val="000000"/>
          <w:sz w:val="18"/>
          <w:szCs w:val="18"/>
        </w:rPr>
        <w:t>trovano</w:t>
      </w:r>
      <w:proofErr w:type="gramEnd"/>
      <w:r w:rsidRPr="00F72E68">
        <w:rPr>
          <w:rFonts w:ascii="Verdana" w:hAnsi="Verdana" w:cs="Times New Roman"/>
          <w:color w:val="000000"/>
          <w:sz w:val="18"/>
          <w:szCs w:val="18"/>
        </w:rPr>
        <w:t xml:space="preserve"> applicazione anche nel caso di cessione di quote di una società a responsabilità limitata o nella cessione di azioni di una società per azioni. Ricorre l'ipotesi dell'aliud pro alio datum quando la cosa presenta dei vizi o manchi di talune qualità che, avuto riguardo all'interesse dell'altra parte, rendono la cosa assolutamente inservibile al suo uso o totalmente diversa da quella pattuita.</w:t>
      </w:r>
    </w:p>
    <w:p w14:paraId="6505CFC1" w14:textId="77777777" w:rsidR="00F72E68" w:rsidRPr="00F72E68" w:rsidRDefault="00F72E68" w:rsidP="00F72E68">
      <w:pPr>
        <w:spacing w:before="100" w:beforeAutospacing="1" w:after="100" w:afterAutospacing="1"/>
        <w:jc w:val="both"/>
        <w:rPr>
          <w:rFonts w:ascii="Verdana" w:hAnsi="Verdana" w:cs="Times New Roman"/>
          <w:color w:val="000000"/>
          <w:sz w:val="18"/>
          <w:szCs w:val="18"/>
        </w:rPr>
      </w:pPr>
      <w:r w:rsidRPr="00F72E68">
        <w:rPr>
          <w:rFonts w:ascii="Verdana" w:hAnsi="Verdana" w:cs="Times New Roman"/>
          <w:b/>
          <w:bCs/>
          <w:color w:val="000000"/>
          <w:sz w:val="18"/>
          <w:szCs w:val="18"/>
        </w:rPr>
        <w:t>FONTI</w:t>
      </w:r>
      <w:r w:rsidRPr="00F72E68">
        <w:rPr>
          <w:rFonts w:ascii="Verdana" w:hAnsi="Verdana" w:cs="Times New Roman"/>
          <w:color w:val="000000"/>
          <w:sz w:val="18"/>
          <w:szCs w:val="18"/>
        </w:rPr>
        <w:br/>
        <w:t>Impresa, 2004, 858</w:t>
      </w:r>
    </w:p>
    <w:p w14:paraId="2B001AD2" w14:textId="77777777" w:rsidR="00987946" w:rsidRDefault="00987946">
      <w:bookmarkStart w:id="0" w:name="_GoBack"/>
      <w:bookmarkEnd w:id="0"/>
    </w:p>
    <w:sectPr w:rsidR="00987946" w:rsidSect="0098794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0E"/>
    <w:rsid w:val="00987946"/>
    <w:rsid w:val="00E0260E"/>
    <w:rsid w:val="00F72E6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FA1F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ssgeclassl1">
    <w:name w:val="massge_class_l1"/>
    <w:basedOn w:val="Caratterepredefinitoparagrafo"/>
    <w:rsid w:val="00E0260E"/>
  </w:style>
  <w:style w:type="character" w:customStyle="1" w:styleId="apple-converted-space">
    <w:name w:val="apple-converted-space"/>
    <w:basedOn w:val="Caratterepredefinitoparagrafo"/>
    <w:rsid w:val="00E0260E"/>
  </w:style>
  <w:style w:type="character" w:customStyle="1" w:styleId="massgeclassl2">
    <w:name w:val="massge_class_l2"/>
    <w:basedOn w:val="Caratterepredefinitoparagrafo"/>
    <w:rsid w:val="00E0260E"/>
  </w:style>
  <w:style w:type="character" w:customStyle="1" w:styleId="massgeclassl3">
    <w:name w:val="massge_class_l3"/>
    <w:basedOn w:val="Caratterepredefinitoparagrafo"/>
    <w:rsid w:val="00E0260E"/>
  </w:style>
  <w:style w:type="paragraph" w:customStyle="1" w:styleId="massgetesto">
    <w:name w:val="massge_testo"/>
    <w:basedOn w:val="Normale"/>
    <w:rsid w:val="00E0260E"/>
    <w:pPr>
      <w:spacing w:before="100" w:beforeAutospacing="1" w:after="100" w:afterAutospacing="1"/>
    </w:pPr>
    <w:rPr>
      <w:rFonts w:ascii="Times" w:hAnsi="Times"/>
      <w:sz w:val="20"/>
      <w:szCs w:val="20"/>
    </w:rPr>
  </w:style>
  <w:style w:type="character" w:styleId="Collegamentoipertestuale">
    <w:name w:val="Hyperlink"/>
    <w:basedOn w:val="Caratterepredefinitoparagrafo"/>
    <w:uiPriority w:val="99"/>
    <w:semiHidden/>
    <w:unhideWhenUsed/>
    <w:rsid w:val="00E0260E"/>
    <w:rPr>
      <w:color w:val="0000FF"/>
      <w:u w:val="single"/>
    </w:rPr>
  </w:style>
  <w:style w:type="paragraph" w:styleId="NormaleWeb">
    <w:name w:val="Normal (Web)"/>
    <w:basedOn w:val="Normale"/>
    <w:uiPriority w:val="99"/>
    <w:semiHidden/>
    <w:unhideWhenUsed/>
    <w:rsid w:val="00E0260E"/>
    <w:pPr>
      <w:spacing w:before="100" w:beforeAutospacing="1" w:after="100" w:afterAutospacing="1"/>
    </w:pPr>
    <w:rPr>
      <w:rFonts w:ascii="Times" w:hAnsi="Times" w:cs="Times New Roman"/>
      <w:sz w:val="20"/>
      <w:szCs w:val="20"/>
    </w:rPr>
  </w:style>
  <w:style w:type="character" w:customStyle="1" w:styleId="massgetitolo">
    <w:name w:val="massge_titolo"/>
    <w:basedOn w:val="Caratterepredefinitoparagrafo"/>
    <w:rsid w:val="00E0260E"/>
  </w:style>
  <w:style w:type="character" w:customStyle="1" w:styleId="massgenerettovoce">
    <w:name w:val="massge_neretto_voce"/>
    <w:basedOn w:val="Caratterepredefinitoparagrafo"/>
    <w:rsid w:val="00E0260E"/>
  </w:style>
  <w:style w:type="character" w:customStyle="1" w:styleId="massgenerettodescr">
    <w:name w:val="massge_neretto_descr"/>
    <w:basedOn w:val="Caratterepredefinitoparagrafo"/>
    <w:rsid w:val="00E026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ssgeclassl1">
    <w:name w:val="massge_class_l1"/>
    <w:basedOn w:val="Caratterepredefinitoparagrafo"/>
    <w:rsid w:val="00E0260E"/>
  </w:style>
  <w:style w:type="character" w:customStyle="1" w:styleId="apple-converted-space">
    <w:name w:val="apple-converted-space"/>
    <w:basedOn w:val="Caratterepredefinitoparagrafo"/>
    <w:rsid w:val="00E0260E"/>
  </w:style>
  <w:style w:type="character" w:customStyle="1" w:styleId="massgeclassl2">
    <w:name w:val="massge_class_l2"/>
    <w:basedOn w:val="Caratterepredefinitoparagrafo"/>
    <w:rsid w:val="00E0260E"/>
  </w:style>
  <w:style w:type="character" w:customStyle="1" w:styleId="massgeclassl3">
    <w:name w:val="massge_class_l3"/>
    <w:basedOn w:val="Caratterepredefinitoparagrafo"/>
    <w:rsid w:val="00E0260E"/>
  </w:style>
  <w:style w:type="paragraph" w:customStyle="1" w:styleId="massgetesto">
    <w:name w:val="massge_testo"/>
    <w:basedOn w:val="Normale"/>
    <w:rsid w:val="00E0260E"/>
    <w:pPr>
      <w:spacing w:before="100" w:beforeAutospacing="1" w:after="100" w:afterAutospacing="1"/>
    </w:pPr>
    <w:rPr>
      <w:rFonts w:ascii="Times" w:hAnsi="Times"/>
      <w:sz w:val="20"/>
      <w:szCs w:val="20"/>
    </w:rPr>
  </w:style>
  <w:style w:type="character" w:styleId="Collegamentoipertestuale">
    <w:name w:val="Hyperlink"/>
    <w:basedOn w:val="Caratterepredefinitoparagrafo"/>
    <w:uiPriority w:val="99"/>
    <w:semiHidden/>
    <w:unhideWhenUsed/>
    <w:rsid w:val="00E0260E"/>
    <w:rPr>
      <w:color w:val="0000FF"/>
      <w:u w:val="single"/>
    </w:rPr>
  </w:style>
  <w:style w:type="paragraph" w:styleId="NormaleWeb">
    <w:name w:val="Normal (Web)"/>
    <w:basedOn w:val="Normale"/>
    <w:uiPriority w:val="99"/>
    <w:semiHidden/>
    <w:unhideWhenUsed/>
    <w:rsid w:val="00E0260E"/>
    <w:pPr>
      <w:spacing w:before="100" w:beforeAutospacing="1" w:after="100" w:afterAutospacing="1"/>
    </w:pPr>
    <w:rPr>
      <w:rFonts w:ascii="Times" w:hAnsi="Times" w:cs="Times New Roman"/>
      <w:sz w:val="20"/>
      <w:szCs w:val="20"/>
    </w:rPr>
  </w:style>
  <w:style w:type="character" w:customStyle="1" w:styleId="massgetitolo">
    <w:name w:val="massge_titolo"/>
    <w:basedOn w:val="Caratterepredefinitoparagrafo"/>
    <w:rsid w:val="00E0260E"/>
  </w:style>
  <w:style w:type="character" w:customStyle="1" w:styleId="massgenerettovoce">
    <w:name w:val="massge_neretto_voce"/>
    <w:basedOn w:val="Caratterepredefinitoparagrafo"/>
    <w:rsid w:val="00E0260E"/>
  </w:style>
  <w:style w:type="character" w:customStyle="1" w:styleId="massgenerettodescr">
    <w:name w:val="massge_neretto_descr"/>
    <w:basedOn w:val="Caratterepredefinitoparagrafo"/>
    <w:rsid w:val="00E0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39074">
      <w:bodyDiv w:val="1"/>
      <w:marLeft w:val="0"/>
      <w:marRight w:val="0"/>
      <w:marTop w:val="0"/>
      <w:marBottom w:val="0"/>
      <w:divBdr>
        <w:top w:val="none" w:sz="0" w:space="0" w:color="auto"/>
        <w:left w:val="none" w:sz="0" w:space="0" w:color="auto"/>
        <w:bottom w:val="none" w:sz="0" w:space="0" w:color="auto"/>
        <w:right w:val="none" w:sz="0" w:space="0" w:color="auto"/>
      </w:divBdr>
      <w:divsChild>
        <w:div w:id="1739135547">
          <w:marLeft w:val="0"/>
          <w:marRight w:val="0"/>
          <w:marTop w:val="0"/>
          <w:marBottom w:val="240"/>
          <w:divBdr>
            <w:top w:val="none" w:sz="0" w:space="0" w:color="auto"/>
            <w:left w:val="none" w:sz="0" w:space="0" w:color="auto"/>
            <w:bottom w:val="none" w:sz="0" w:space="0" w:color="auto"/>
            <w:right w:val="none" w:sz="0" w:space="0" w:color="auto"/>
          </w:divBdr>
        </w:div>
        <w:div w:id="1598172125">
          <w:marLeft w:val="0"/>
          <w:marRight w:val="0"/>
          <w:marTop w:val="0"/>
          <w:marBottom w:val="0"/>
          <w:divBdr>
            <w:top w:val="none" w:sz="0" w:space="0" w:color="auto"/>
            <w:left w:val="none" w:sz="0" w:space="0" w:color="auto"/>
            <w:bottom w:val="none" w:sz="0" w:space="0" w:color="auto"/>
            <w:right w:val="none" w:sz="0" w:space="0" w:color="auto"/>
          </w:divBdr>
        </w:div>
        <w:div w:id="1554274641">
          <w:marLeft w:val="0"/>
          <w:marRight w:val="0"/>
          <w:marTop w:val="0"/>
          <w:marBottom w:val="0"/>
          <w:divBdr>
            <w:top w:val="none" w:sz="0" w:space="0" w:color="auto"/>
            <w:left w:val="none" w:sz="0" w:space="0" w:color="auto"/>
            <w:bottom w:val="none" w:sz="0" w:space="0" w:color="auto"/>
            <w:right w:val="none" w:sz="0" w:space="0" w:color="auto"/>
          </w:divBdr>
        </w:div>
      </w:divsChild>
    </w:div>
    <w:div w:id="951010106">
      <w:bodyDiv w:val="1"/>
      <w:marLeft w:val="0"/>
      <w:marRight w:val="0"/>
      <w:marTop w:val="0"/>
      <w:marBottom w:val="0"/>
      <w:divBdr>
        <w:top w:val="none" w:sz="0" w:space="0" w:color="auto"/>
        <w:left w:val="none" w:sz="0" w:space="0" w:color="auto"/>
        <w:bottom w:val="none" w:sz="0" w:space="0" w:color="auto"/>
        <w:right w:val="none" w:sz="0" w:space="0" w:color="auto"/>
      </w:divBdr>
      <w:divsChild>
        <w:div w:id="1808811882">
          <w:marLeft w:val="0"/>
          <w:marRight w:val="0"/>
          <w:marTop w:val="0"/>
          <w:marBottom w:val="240"/>
          <w:divBdr>
            <w:top w:val="none" w:sz="0" w:space="0" w:color="auto"/>
            <w:left w:val="none" w:sz="0" w:space="0" w:color="auto"/>
            <w:bottom w:val="none" w:sz="0" w:space="0" w:color="auto"/>
            <w:right w:val="none" w:sz="0" w:space="0" w:color="auto"/>
          </w:divBdr>
        </w:div>
        <w:div w:id="1154494245">
          <w:marLeft w:val="0"/>
          <w:marRight w:val="0"/>
          <w:marTop w:val="0"/>
          <w:marBottom w:val="0"/>
          <w:divBdr>
            <w:top w:val="none" w:sz="0" w:space="0" w:color="auto"/>
            <w:left w:val="none" w:sz="0" w:space="0" w:color="auto"/>
            <w:bottom w:val="none" w:sz="0" w:space="0" w:color="auto"/>
            <w:right w:val="none" w:sz="0" w:space="0" w:color="auto"/>
          </w:divBdr>
        </w:div>
      </w:divsChild>
    </w:div>
    <w:div w:id="1051660360">
      <w:bodyDiv w:val="1"/>
      <w:marLeft w:val="0"/>
      <w:marRight w:val="0"/>
      <w:marTop w:val="0"/>
      <w:marBottom w:val="0"/>
      <w:divBdr>
        <w:top w:val="none" w:sz="0" w:space="0" w:color="auto"/>
        <w:left w:val="none" w:sz="0" w:space="0" w:color="auto"/>
        <w:bottom w:val="none" w:sz="0" w:space="0" w:color="auto"/>
        <w:right w:val="none" w:sz="0" w:space="0" w:color="auto"/>
      </w:divBdr>
      <w:divsChild>
        <w:div w:id="708653074">
          <w:marLeft w:val="0"/>
          <w:marRight w:val="0"/>
          <w:marTop w:val="0"/>
          <w:marBottom w:val="0"/>
          <w:divBdr>
            <w:top w:val="none" w:sz="0" w:space="0" w:color="auto"/>
            <w:left w:val="none" w:sz="0" w:space="0" w:color="auto"/>
            <w:bottom w:val="none" w:sz="0" w:space="0" w:color="auto"/>
            <w:right w:val="none" w:sz="0" w:space="0" w:color="auto"/>
          </w:divBdr>
        </w:div>
      </w:divsChild>
    </w:div>
    <w:div w:id="1255937654">
      <w:bodyDiv w:val="1"/>
      <w:marLeft w:val="0"/>
      <w:marRight w:val="0"/>
      <w:marTop w:val="0"/>
      <w:marBottom w:val="0"/>
      <w:divBdr>
        <w:top w:val="none" w:sz="0" w:space="0" w:color="auto"/>
        <w:left w:val="none" w:sz="0" w:space="0" w:color="auto"/>
        <w:bottom w:val="none" w:sz="0" w:space="0" w:color="auto"/>
        <w:right w:val="none" w:sz="0" w:space="0" w:color="auto"/>
      </w:divBdr>
      <w:divsChild>
        <w:div w:id="576944859">
          <w:marLeft w:val="0"/>
          <w:marRight w:val="0"/>
          <w:marTop w:val="0"/>
          <w:marBottom w:val="240"/>
          <w:divBdr>
            <w:top w:val="none" w:sz="0" w:space="0" w:color="auto"/>
            <w:left w:val="none" w:sz="0" w:space="0" w:color="auto"/>
            <w:bottom w:val="none" w:sz="0" w:space="0" w:color="auto"/>
            <w:right w:val="none" w:sz="0" w:space="0" w:color="auto"/>
          </w:divBdr>
        </w:div>
        <w:div w:id="1566180804">
          <w:marLeft w:val="0"/>
          <w:marRight w:val="0"/>
          <w:marTop w:val="0"/>
          <w:marBottom w:val="0"/>
          <w:divBdr>
            <w:top w:val="none" w:sz="0" w:space="0" w:color="auto"/>
            <w:left w:val="none" w:sz="0" w:space="0" w:color="auto"/>
            <w:bottom w:val="none" w:sz="0" w:space="0" w:color="auto"/>
            <w:right w:val="none" w:sz="0" w:space="0" w:color="auto"/>
          </w:divBdr>
        </w:div>
      </w:divsChild>
    </w:div>
    <w:div w:id="1725829072">
      <w:bodyDiv w:val="1"/>
      <w:marLeft w:val="0"/>
      <w:marRight w:val="0"/>
      <w:marTop w:val="0"/>
      <w:marBottom w:val="0"/>
      <w:divBdr>
        <w:top w:val="none" w:sz="0" w:space="0" w:color="auto"/>
        <w:left w:val="none" w:sz="0" w:space="0" w:color="auto"/>
        <w:bottom w:val="none" w:sz="0" w:space="0" w:color="auto"/>
        <w:right w:val="none" w:sz="0" w:space="0" w:color="auto"/>
      </w:divBdr>
      <w:divsChild>
        <w:div w:id="1933397580">
          <w:marLeft w:val="0"/>
          <w:marRight w:val="0"/>
          <w:marTop w:val="0"/>
          <w:marBottom w:val="240"/>
          <w:divBdr>
            <w:top w:val="none" w:sz="0" w:space="0" w:color="auto"/>
            <w:left w:val="none" w:sz="0" w:space="0" w:color="auto"/>
            <w:bottom w:val="none" w:sz="0" w:space="0" w:color="auto"/>
            <w:right w:val="none" w:sz="0" w:space="0" w:color="auto"/>
          </w:divBdr>
        </w:div>
        <w:div w:id="15713801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d05.leggiditalia.it/cgi-bin/FulShow?TIPO=5&amp;NOTXT=1&amp;KEY=05AC00002757&amp;" TargetMode="External"/><Relationship Id="rId12" Type="http://schemas.openxmlformats.org/officeDocument/2006/relationships/hyperlink" Target="http://bd05.leggiditalia.it/cgi-bin/FulShow?TIPO=5&amp;NOTXT=1&amp;KEY=05AC00002812&amp;" TargetMode="External"/><Relationship Id="rId13" Type="http://schemas.openxmlformats.org/officeDocument/2006/relationships/hyperlink" Target="http://bd05.leggiditalia.it/cgi-bin/FulShow?TIPO=5&amp;NOTXT=1&amp;KEY=05AC00002759&amp;"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d05.leggiditalia.it/cgi-bin/FulShow?TIPO=5&amp;NOTXT=1&amp;KEY=05AC00002757&amp;" TargetMode="External"/><Relationship Id="rId6" Type="http://schemas.openxmlformats.org/officeDocument/2006/relationships/hyperlink" Target="http://bd05.leggiditalia.it/cgi-bin/FulShow?TIPO=5&amp;NOTXT=1&amp;KEY=05AC00002812&amp;" TargetMode="External"/><Relationship Id="rId7" Type="http://schemas.openxmlformats.org/officeDocument/2006/relationships/hyperlink" Target="http://bd05.leggiditalia.it/cgi-bin/FulShow?TIPO=5&amp;NOTXT=1&amp;KEY=05AC00002759&amp;" TargetMode="External"/><Relationship Id="rId8" Type="http://schemas.openxmlformats.org/officeDocument/2006/relationships/hyperlink" Target="http://bd05.leggiditalia.it/cgi-bin/FulShow?TIPO=5&amp;NOTXT=1&amp;KEY=05AC00002757&amp;" TargetMode="External"/><Relationship Id="rId9" Type="http://schemas.openxmlformats.org/officeDocument/2006/relationships/hyperlink" Target="http://bd05.leggiditalia.it/cgi-bin/FulShow?TIPO=5&amp;NOTXT=1&amp;KEY=05AC00002759&amp;" TargetMode="External"/><Relationship Id="rId10" Type="http://schemas.openxmlformats.org/officeDocument/2006/relationships/hyperlink" Target="http://bd05.leggiditalia.it/cgi-bin/FulShow?TIPO=5&amp;NOTXT=1&amp;KEY=05AC00002757&am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1061</Words>
  <Characters>6048</Characters>
  <Application>Microsoft Macintosh Word</Application>
  <DocSecurity>0</DocSecurity>
  <Lines>50</Lines>
  <Paragraphs>14</Paragraphs>
  <ScaleCrop>false</ScaleCrop>
  <Company>Mario Campobasso</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Campobasso</dc:creator>
  <cp:keywords/>
  <dc:description/>
  <cp:lastModifiedBy>Mario Campobasso</cp:lastModifiedBy>
  <cp:revision>2</cp:revision>
  <dcterms:created xsi:type="dcterms:W3CDTF">2021-02-10T16:51:00Z</dcterms:created>
  <dcterms:modified xsi:type="dcterms:W3CDTF">2021-02-10T16:59:00Z</dcterms:modified>
</cp:coreProperties>
</file>